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F72" w14:textId="74E41590" w:rsidR="008646B4" w:rsidRPr="008646B4" w:rsidRDefault="005F0AEB" w:rsidP="008646B4">
      <w:pPr>
        <w:spacing w:before="240" w:after="60"/>
        <w:rPr>
          <w:rFonts w:ascii="Arial" w:hAnsi="Arial" w:cs="Arial"/>
          <w:caps/>
          <w:sz w:val="20"/>
          <w:szCs w:val="20"/>
        </w:rPr>
      </w:pPr>
      <w:hyperlink r:id="rId7" w:history="1">
        <w:r w:rsidR="00B36A56">
          <w:rPr>
            <w:rStyle w:val="Hyperlink"/>
            <w:rFonts w:ascii="Arial" w:hAnsi="Arial" w:cs="Arial"/>
            <w:caps/>
            <w:sz w:val="20"/>
            <w:szCs w:val="20"/>
          </w:rPr>
          <w:t>FAIR MARKET RENTS</w:t>
        </w:r>
      </w:hyperlink>
    </w:p>
    <w:p w14:paraId="7CF59C40" w14:textId="01DD3ACD" w:rsidR="008646B4" w:rsidRPr="008646B4" w:rsidRDefault="008646B4" w:rsidP="00EE5CE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HUD is required to publish the FMRs at least annually to be effective Oct</w:t>
      </w:r>
      <w:r w:rsidR="00BF66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ober</w:t>
      </w: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</w:t>
      </w:r>
      <w:r w:rsidR="000170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</w:t>
      </w: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 each year</w:t>
      </w:r>
    </w:p>
    <w:p w14:paraId="52488BAD" w14:textId="626F5F33" w:rsidR="008646B4" w:rsidRPr="008646B4" w:rsidRDefault="008646B4" w:rsidP="00EE5CE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646B4">
        <w:rPr>
          <w:rFonts w:ascii="Arial" w:hAnsi="Arial" w:cs="Arial"/>
          <w:color w:val="000000" w:themeColor="text1"/>
          <w:sz w:val="20"/>
          <w:szCs w:val="20"/>
        </w:rPr>
        <w:t xml:space="preserve">Providers should use the </w:t>
      </w:r>
      <w:r w:rsidR="00B36A56">
        <w:rPr>
          <w:rFonts w:ascii="Arial" w:hAnsi="Arial" w:cs="Arial"/>
          <w:color w:val="000000" w:themeColor="text1"/>
          <w:sz w:val="20"/>
          <w:szCs w:val="20"/>
        </w:rPr>
        <w:t xml:space="preserve">latest </w:t>
      </w:r>
      <w:r w:rsidR="00BF669D">
        <w:rPr>
          <w:rFonts w:ascii="Arial" w:hAnsi="Arial" w:cs="Arial"/>
          <w:color w:val="000000" w:themeColor="text1"/>
          <w:sz w:val="20"/>
          <w:szCs w:val="20"/>
        </w:rPr>
        <w:t>Fair Market Rents</w:t>
      </w:r>
      <w:r w:rsidRPr="008646B4">
        <w:rPr>
          <w:rFonts w:ascii="Arial" w:hAnsi="Arial" w:cs="Arial"/>
          <w:color w:val="000000" w:themeColor="text1"/>
          <w:sz w:val="20"/>
          <w:szCs w:val="20"/>
        </w:rPr>
        <w:t xml:space="preserve"> as soon as they are published by HUD</w:t>
      </w:r>
    </w:p>
    <w:tbl>
      <w:tblPr>
        <w:tblW w:w="14040" w:type="dxa"/>
        <w:tblInd w:w="337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430"/>
        <w:gridCol w:w="2340"/>
        <w:gridCol w:w="2430"/>
        <w:gridCol w:w="2520"/>
      </w:tblGrid>
      <w:tr w:rsidR="008646B4" w:rsidRPr="008646B4" w14:paraId="32D5D3C9" w14:textId="77777777" w:rsidTr="008033DF">
        <w:tc>
          <w:tcPr>
            <w:tcW w:w="14040" w:type="dxa"/>
            <w:gridSpan w:val="6"/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39F0BF" w14:textId="49E1E6C9" w:rsidR="008646B4" w:rsidRPr="008646B4" w:rsidRDefault="008646B4" w:rsidP="00864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FY 2021 F</w:t>
            </w:r>
            <w:r w:rsidR="0074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air Market Rents</w:t>
            </w:r>
          </w:p>
        </w:tc>
      </w:tr>
      <w:tr w:rsidR="008646B4" w:rsidRPr="008646B4" w14:paraId="593FA086" w14:textId="77777777" w:rsidTr="00742352">
        <w:tc>
          <w:tcPr>
            <w:tcW w:w="216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B2171" w14:textId="77777777" w:rsidR="008646B4" w:rsidRPr="008646B4" w:rsidRDefault="008646B4" w:rsidP="00BD1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EA585" w14:textId="2E599C62" w:rsidR="008646B4" w:rsidRPr="008646B4" w:rsidRDefault="008646B4" w:rsidP="0086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Efficiency</w:t>
            </w:r>
          </w:p>
        </w:tc>
        <w:tc>
          <w:tcPr>
            <w:tcW w:w="243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0C55F" w14:textId="764A77C7" w:rsidR="008646B4" w:rsidRPr="008646B4" w:rsidRDefault="008646B4" w:rsidP="0086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One-Bedroom</w:t>
            </w:r>
          </w:p>
        </w:tc>
        <w:tc>
          <w:tcPr>
            <w:tcW w:w="234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09B96" w14:textId="77777777" w:rsidR="008646B4" w:rsidRPr="008646B4" w:rsidRDefault="008646B4" w:rsidP="0086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Two-Bedroom</w:t>
            </w:r>
          </w:p>
        </w:tc>
        <w:tc>
          <w:tcPr>
            <w:tcW w:w="243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DADAC" w14:textId="778B9A1F" w:rsidR="008646B4" w:rsidRPr="008646B4" w:rsidRDefault="008646B4" w:rsidP="0086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Three-Bedroom</w:t>
            </w:r>
          </w:p>
        </w:tc>
        <w:tc>
          <w:tcPr>
            <w:tcW w:w="2520" w:type="dxa"/>
            <w:tcBorders>
              <w:bottom w:val="single" w:sz="6" w:space="0" w:color="808080"/>
            </w:tcBorders>
            <w:shd w:val="clear" w:color="auto" w:fill="DCDCD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C73B4" w14:textId="636495C4" w:rsidR="008646B4" w:rsidRPr="008646B4" w:rsidRDefault="008646B4" w:rsidP="00864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Four-Bedroom</w:t>
            </w:r>
          </w:p>
        </w:tc>
      </w:tr>
      <w:tr w:rsidR="008646B4" w:rsidRPr="008646B4" w14:paraId="05059E29" w14:textId="77777777" w:rsidTr="00742352">
        <w:tc>
          <w:tcPr>
            <w:tcW w:w="216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FE103D" w14:textId="77777777" w:rsidR="008646B4" w:rsidRPr="00290FA2" w:rsidRDefault="008646B4" w:rsidP="00EE5CE3">
            <w:pPr>
              <w:spacing w:after="0" w:line="204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FY 2021 FMR</w:t>
            </w:r>
          </w:p>
        </w:tc>
        <w:tc>
          <w:tcPr>
            <w:tcW w:w="216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1F304" w14:textId="77777777" w:rsidR="008646B4" w:rsidRPr="00290FA2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$1,513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4A7DC" w14:textId="77777777" w:rsidR="008646B4" w:rsidRPr="00290FA2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$1,548</w:t>
            </w:r>
          </w:p>
        </w:tc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880BC" w14:textId="77777777" w:rsidR="008646B4" w:rsidRPr="00290FA2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$1,765</w:t>
            </w:r>
          </w:p>
        </w:tc>
        <w:tc>
          <w:tcPr>
            <w:tcW w:w="24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6F6FA9" w14:textId="77777777" w:rsidR="008646B4" w:rsidRPr="00290FA2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$2,263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B6530" w14:textId="77777777" w:rsidR="008646B4" w:rsidRPr="00290FA2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0F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$2,742</w:t>
            </w:r>
          </w:p>
        </w:tc>
      </w:tr>
      <w:tr w:rsidR="008646B4" w:rsidRPr="008646B4" w14:paraId="2C64FD25" w14:textId="77777777" w:rsidTr="00421CE0">
        <w:tc>
          <w:tcPr>
            <w:tcW w:w="216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13574" w14:textId="16FC7A1A" w:rsidR="008646B4" w:rsidRPr="008646B4" w:rsidRDefault="008646B4" w:rsidP="00EE5CE3">
            <w:pPr>
              <w:spacing w:after="0" w:line="204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FY 2020 FMR</w:t>
            </w:r>
          </w:p>
        </w:tc>
        <w:tc>
          <w:tcPr>
            <w:tcW w:w="216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C8393" w14:textId="77777777" w:rsidR="008646B4" w:rsidRPr="008646B4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$1,457</w:t>
            </w:r>
          </w:p>
        </w:tc>
        <w:tc>
          <w:tcPr>
            <w:tcW w:w="243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06F7A" w14:textId="77777777" w:rsidR="008646B4" w:rsidRPr="008646B4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$1,500</w:t>
            </w:r>
          </w:p>
        </w:tc>
        <w:tc>
          <w:tcPr>
            <w:tcW w:w="234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16353" w14:textId="77777777" w:rsidR="008646B4" w:rsidRPr="008646B4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$1,707</w:t>
            </w:r>
          </w:p>
        </w:tc>
        <w:tc>
          <w:tcPr>
            <w:tcW w:w="243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C565A" w14:textId="77777777" w:rsidR="008646B4" w:rsidRPr="008646B4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$2,215</w:t>
            </w:r>
          </w:p>
        </w:tc>
        <w:tc>
          <w:tcPr>
            <w:tcW w:w="2520" w:type="dxa"/>
            <w:tcBorders>
              <w:top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95D16" w14:textId="77777777" w:rsidR="008646B4" w:rsidRPr="008646B4" w:rsidRDefault="008646B4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8646B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$2,707</w:t>
            </w:r>
          </w:p>
        </w:tc>
      </w:tr>
      <w:tr w:rsidR="00B57E45" w:rsidRPr="008646B4" w14:paraId="7C12525E" w14:textId="77777777" w:rsidTr="008033DF"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63B551" w14:textId="15B9811E" w:rsidR="00B57E45" w:rsidRPr="00EE5CE3" w:rsidRDefault="00B57E45" w:rsidP="00EE5CE3">
            <w:pPr>
              <w:spacing w:after="0" w:line="204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FY 2019 FMR</w:t>
            </w:r>
          </w:p>
        </w:tc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F95CE" w14:textId="7E831EBD" w:rsidR="00B57E45" w:rsidRPr="00EE5CE3" w:rsidRDefault="00B57E45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$1,415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92CE35" w14:textId="1DBF7774" w:rsidR="00B57E45" w:rsidRPr="00EE5CE3" w:rsidRDefault="00B57E45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$1,454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FDC74F" w14:textId="673947B5" w:rsidR="00B57E45" w:rsidRPr="00EE5CE3" w:rsidRDefault="00B57E45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$1,665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D3E583" w14:textId="22A96923" w:rsidR="00B57E45" w:rsidRPr="00EE5CE3" w:rsidRDefault="00B57E45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$2,176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1894D3" w14:textId="77CBCE37" w:rsidR="00B57E45" w:rsidRPr="00EE5CE3" w:rsidRDefault="00B57E45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$2,678</w:t>
            </w:r>
          </w:p>
        </w:tc>
      </w:tr>
      <w:tr w:rsidR="00EE5CE3" w:rsidRPr="008646B4" w14:paraId="5FB1298E" w14:textId="77777777" w:rsidTr="008033DF"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37DF4D" w14:textId="576C3D48" w:rsidR="00EE5CE3" w:rsidRPr="00EE5CE3" w:rsidRDefault="00EE5CE3" w:rsidP="00EE5CE3">
            <w:pPr>
              <w:spacing w:after="0" w:line="204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FY 2018 FMR</w:t>
            </w:r>
          </w:p>
        </w:tc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7E6204" w14:textId="16F00ADE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$1,504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831384" w14:textId="11DD9ABA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$1,561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905D2E" w14:textId="7D858E42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$1,793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53B0AF" w14:textId="07AF7F21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$2,353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AE16E6" w14:textId="72ACBFEB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$2,902</w:t>
            </w:r>
          </w:p>
        </w:tc>
      </w:tr>
      <w:tr w:rsidR="00EE5CE3" w:rsidRPr="008646B4" w14:paraId="5C147FF0" w14:textId="77777777" w:rsidTr="008033DF"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8FBD86" w14:textId="56467F75" w:rsidR="00EE5CE3" w:rsidRPr="00EE5CE3" w:rsidRDefault="00EE5CE3" w:rsidP="00EE5CE3">
            <w:pPr>
              <w:spacing w:after="0" w:line="204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</w:pPr>
            <w:r w:rsidRPr="00EE5C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FY 2017 FMR</w:t>
            </w:r>
          </w:p>
        </w:tc>
        <w:tc>
          <w:tcPr>
            <w:tcW w:w="21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669B09" w14:textId="1E733220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$1,440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6B4E8" w14:textId="58892653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$1,513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67263C" w14:textId="2090118D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$1,746</w:t>
            </w:r>
          </w:p>
        </w:tc>
        <w:tc>
          <w:tcPr>
            <w:tcW w:w="24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32B29A" w14:textId="51FE0811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$2,300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FA7984" w14:textId="198856B6" w:rsidR="00EE5CE3" w:rsidRPr="00EE5CE3" w:rsidRDefault="00EE5CE3" w:rsidP="00EE5CE3">
            <w:pPr>
              <w:spacing w:after="0" w:line="204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EE5CE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$2,855</w:t>
            </w:r>
          </w:p>
        </w:tc>
      </w:tr>
    </w:tbl>
    <w:p w14:paraId="6ECBF7F2" w14:textId="77777777" w:rsidR="00290FA2" w:rsidRPr="00EE5CE3" w:rsidRDefault="00290FA2" w:rsidP="008646B4">
      <w:pPr>
        <w:rPr>
          <w:rFonts w:ascii="Arial" w:hAnsi="Arial" w:cs="Arial"/>
          <w:sz w:val="6"/>
          <w:szCs w:val="6"/>
        </w:rPr>
      </w:pPr>
    </w:p>
    <w:p w14:paraId="16D5CECC" w14:textId="1381C68F" w:rsidR="00B36A56" w:rsidRDefault="005F0AEB" w:rsidP="00BF669D">
      <w:pPr>
        <w:spacing w:before="240" w:after="60"/>
        <w:rPr>
          <w:rStyle w:val="Hyperlink"/>
          <w:rFonts w:ascii="Arial" w:hAnsi="Arial" w:cs="Arial"/>
          <w:caps/>
          <w:sz w:val="20"/>
          <w:szCs w:val="20"/>
        </w:rPr>
      </w:pPr>
      <w:hyperlink r:id="rId8" w:history="1">
        <w:r w:rsidR="00B36A56">
          <w:rPr>
            <w:rStyle w:val="Hyperlink"/>
            <w:rFonts w:ascii="Arial" w:hAnsi="Arial" w:cs="Arial"/>
            <w:caps/>
            <w:sz w:val="20"/>
            <w:szCs w:val="20"/>
          </w:rPr>
          <w:t>INCOME LIMITS</w:t>
        </w:r>
      </w:hyperlink>
    </w:p>
    <w:p w14:paraId="62D48AC0" w14:textId="00924CF7" w:rsidR="00B36A56" w:rsidRPr="008646B4" w:rsidRDefault="00B36A56" w:rsidP="00B36A5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HUD </w:t>
      </w:r>
      <w:r w:rsidR="00BF669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publishes new income limits annually, typically effective as of April</w:t>
      </w: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</w:t>
      </w:r>
      <w:r w:rsidR="000170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</w:t>
      </w:r>
      <w:r w:rsidRPr="00864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 each year</w:t>
      </w:r>
    </w:p>
    <w:p w14:paraId="2761E4DD" w14:textId="143DA807" w:rsidR="00B36A56" w:rsidRPr="00B36A56" w:rsidRDefault="00B36A56" w:rsidP="00B36A5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8646B4">
        <w:rPr>
          <w:rFonts w:ascii="Arial" w:hAnsi="Arial" w:cs="Arial"/>
          <w:color w:val="000000" w:themeColor="text1"/>
          <w:sz w:val="20"/>
          <w:szCs w:val="20"/>
        </w:rPr>
        <w:t xml:space="preserve">Providers should use the </w:t>
      </w:r>
      <w:r>
        <w:rPr>
          <w:rFonts w:ascii="Arial" w:hAnsi="Arial" w:cs="Arial"/>
          <w:color w:val="000000" w:themeColor="text1"/>
          <w:sz w:val="20"/>
          <w:szCs w:val="20"/>
        </w:rPr>
        <w:t>latest Income Limits</w:t>
      </w:r>
      <w:r w:rsidRPr="008646B4">
        <w:rPr>
          <w:rFonts w:ascii="Arial" w:hAnsi="Arial" w:cs="Arial"/>
          <w:color w:val="000000" w:themeColor="text1"/>
          <w:sz w:val="20"/>
          <w:szCs w:val="20"/>
        </w:rPr>
        <w:t xml:space="preserve"> as soon as they are published by HUD</w:t>
      </w:r>
    </w:p>
    <w:tbl>
      <w:tblPr>
        <w:tblW w:w="1402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350"/>
        <w:gridCol w:w="1530"/>
        <w:gridCol w:w="1440"/>
        <w:gridCol w:w="1350"/>
        <w:gridCol w:w="1350"/>
        <w:gridCol w:w="1350"/>
        <w:gridCol w:w="1260"/>
        <w:gridCol w:w="1170"/>
      </w:tblGrid>
      <w:tr w:rsidR="00B36A56" w:rsidRPr="00B36A56" w14:paraId="4E7DD514" w14:textId="77777777" w:rsidTr="00742352">
        <w:trPr>
          <w:trHeight w:val="438"/>
        </w:trPr>
        <w:tc>
          <w:tcPr>
            <w:tcW w:w="14025" w:type="dxa"/>
            <w:gridSpan w:val="9"/>
            <w:tcBorders>
              <w:top w:val="double" w:sz="4" w:space="0" w:color="808080"/>
              <w:left w:val="double" w:sz="4" w:space="0" w:color="808080"/>
              <w:bottom w:val="single" w:sz="8" w:space="0" w:color="808080"/>
              <w:right w:val="doub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5599" w14:textId="5A026751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sz w:val="20"/>
                <w:szCs w:val="20"/>
              </w:rPr>
              <w:t>FY 2021 Income Limit Area | Washington-Arlington-Alexandria, DC-VA-MD HUD Metro FMR Area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| Median Family Income: $129,000</w:t>
            </w:r>
          </w:p>
        </w:tc>
      </w:tr>
      <w:tr w:rsidR="00B36A56" w:rsidRPr="00B36A56" w14:paraId="7092E757" w14:textId="77777777" w:rsidTr="00B36A56">
        <w:trPr>
          <w:trHeight w:val="250"/>
        </w:trPr>
        <w:tc>
          <w:tcPr>
            <w:tcW w:w="3225" w:type="dxa"/>
            <w:tcBorders>
              <w:top w:val="nil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3BE7" w14:textId="1018A6B3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 2021 Income Limit Category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AEC61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0874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FAFF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CC99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D9C1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A897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7CC6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/>
              <w:right w:val="doub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A28D" w14:textId="77777777" w:rsidR="00B36A56" w:rsidRPr="00B36A56" w:rsidRDefault="00B36A56" w:rsidP="00B36A5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36A56" w:rsidRPr="00B36A56" w14:paraId="41889324" w14:textId="77777777" w:rsidTr="00742352">
        <w:tc>
          <w:tcPr>
            <w:tcW w:w="3225" w:type="dxa"/>
            <w:tcBorders>
              <w:top w:val="nil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F8EE" w14:textId="7777777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6A56">
              <w:rPr>
                <w:rFonts w:ascii="Arial" w:hAnsi="Arial" w:cs="Arial"/>
                <w:sz w:val="20"/>
                <w:szCs w:val="20"/>
              </w:rPr>
              <w:t xml:space="preserve">Very Low (50%) Income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93E9" w14:textId="273F892C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45,150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1621" w14:textId="53B32AFF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51,600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CA93" w14:textId="7833EFD0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58,050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7165" w14:textId="23A4FA15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$</w:t>
            </w:r>
            <w:r>
              <w:rPr>
                <w:rStyle w:val="Strong"/>
                <w:bdr w:val="none" w:sz="0" w:space="0" w:color="auto" w:frame="1"/>
              </w:rPr>
              <w:t xml:space="preserve"> </w:t>
            </w:r>
            <w:r w:rsidRPr="00B36A56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64,500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239B" w14:textId="2D1BC65F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69,700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CB12" w14:textId="08A78064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74,850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629B" w14:textId="5D74163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/>
              <w:right w:val="doub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B1D2" w14:textId="04CAAC82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85,150</w:t>
            </w:r>
          </w:p>
        </w:tc>
      </w:tr>
      <w:tr w:rsidR="00B36A56" w:rsidRPr="00B36A56" w14:paraId="01E02B7D" w14:textId="77777777" w:rsidTr="00742352">
        <w:tc>
          <w:tcPr>
            <w:tcW w:w="3225" w:type="dxa"/>
            <w:tcBorders>
              <w:top w:val="single" w:sz="8" w:space="0" w:color="808080"/>
              <w:left w:val="doub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9B5B" w14:textId="7777777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 xml:space="preserve">Extremely (30%) Low Income </w:t>
            </w:r>
          </w:p>
        </w:tc>
        <w:tc>
          <w:tcPr>
            <w:tcW w:w="13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AC48" w14:textId="430FF993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27,100</w:t>
            </w:r>
          </w:p>
        </w:tc>
        <w:tc>
          <w:tcPr>
            <w:tcW w:w="15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FECC" w14:textId="64C84358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E49B" w14:textId="0E679E45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34,850</w:t>
            </w:r>
          </w:p>
        </w:tc>
        <w:tc>
          <w:tcPr>
            <w:tcW w:w="13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B19A" w14:textId="1B61E29E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$</w:t>
            </w:r>
            <w:r>
              <w:rPr>
                <w:rStyle w:val="Strong"/>
                <w:bdr w:val="none" w:sz="0" w:space="0" w:color="auto" w:frame="1"/>
              </w:rPr>
              <w:t xml:space="preserve"> </w:t>
            </w:r>
            <w:r w:rsidRPr="00B36A56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38,700</w:t>
            </w:r>
          </w:p>
        </w:tc>
        <w:tc>
          <w:tcPr>
            <w:tcW w:w="13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29A1" w14:textId="1E8B09DF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41,800</w:t>
            </w:r>
          </w:p>
        </w:tc>
        <w:tc>
          <w:tcPr>
            <w:tcW w:w="13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CBCF" w14:textId="0557621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44,900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9CE1" w14:textId="1501442B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170" w:type="dxa"/>
            <w:tcBorders>
              <w:top w:val="single" w:sz="8" w:space="0" w:color="808080"/>
              <w:left w:val="nil"/>
              <w:bottom w:val="single" w:sz="8" w:space="0" w:color="808080"/>
              <w:right w:val="double" w:sz="4" w:space="0" w:color="8080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2946" w14:textId="6E48A12F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51,100</w:t>
            </w:r>
          </w:p>
        </w:tc>
      </w:tr>
      <w:tr w:rsidR="00B36A56" w:rsidRPr="00B36A56" w14:paraId="4DA80027" w14:textId="77777777" w:rsidTr="00B36A56">
        <w:tc>
          <w:tcPr>
            <w:tcW w:w="3225" w:type="dxa"/>
            <w:tcBorders>
              <w:top w:val="nil"/>
              <w:left w:val="double" w:sz="4" w:space="0" w:color="808080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11B6" w14:textId="7777777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6A56">
              <w:rPr>
                <w:rFonts w:ascii="Arial" w:hAnsi="Arial" w:cs="Arial"/>
                <w:sz w:val="20"/>
                <w:szCs w:val="20"/>
              </w:rPr>
              <w:t xml:space="preserve">Low (80%) Income Limits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288B" w14:textId="5F72E414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57,650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3A89" w14:textId="4B42B8FF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65,850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4BAC" w14:textId="0E00618D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74,100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DE47" w14:textId="423F53AE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$</w:t>
            </w:r>
            <w:r>
              <w:rPr>
                <w:rStyle w:val="Strong"/>
                <w:bdr w:val="none" w:sz="0" w:space="0" w:color="auto" w:frame="1"/>
              </w:rPr>
              <w:t xml:space="preserve"> </w:t>
            </w:r>
            <w:r w:rsidRPr="00B36A56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82,300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06A3" w14:textId="2C657599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88,900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6193" w14:textId="27618CDB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95,500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0D63" w14:textId="7056B587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102,100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3F4C" w14:textId="735C7D7C" w:rsidR="00B36A56" w:rsidRPr="00B36A56" w:rsidRDefault="00B36A56" w:rsidP="007423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 w:rsidRPr="00B36A56">
              <w:rPr>
                <w:rFonts w:ascii="Arial" w:hAnsi="Arial" w:cs="Arial"/>
                <w:color w:val="000000"/>
                <w:sz w:val="20"/>
                <w:szCs w:val="20"/>
              </w:rPr>
              <w:t>108,650</w:t>
            </w:r>
          </w:p>
        </w:tc>
      </w:tr>
    </w:tbl>
    <w:p w14:paraId="208F6CED" w14:textId="77777777" w:rsidR="00B36A56" w:rsidRDefault="00B36A56" w:rsidP="00B36A56"/>
    <w:p w14:paraId="0C01DE7F" w14:textId="65A40FC0" w:rsidR="008646B4" w:rsidRDefault="008646B4"/>
    <w:p w14:paraId="61FD2BFD" w14:textId="488D70B0" w:rsidR="00BF669D" w:rsidRPr="00BF669D" w:rsidRDefault="00BF669D" w:rsidP="00BF669D">
      <w:pPr>
        <w:tabs>
          <w:tab w:val="left" w:pos="5355"/>
        </w:tabs>
      </w:pPr>
      <w:r>
        <w:tab/>
      </w:r>
    </w:p>
    <w:sectPr w:rsidR="00BF669D" w:rsidRPr="00BF669D" w:rsidSect="008646B4">
      <w:headerReference w:type="default" r:id="rId9"/>
      <w:footerReference w:type="default" r:id="rId10"/>
      <w:pgSz w:w="15840" w:h="12240" w:orient="landscape"/>
      <w:pgMar w:top="720" w:right="720" w:bottom="720" w:left="720" w:header="27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A186" w14:textId="77777777" w:rsidR="008646B4" w:rsidRDefault="008646B4" w:rsidP="008646B4">
      <w:pPr>
        <w:spacing w:after="0" w:line="240" w:lineRule="auto"/>
      </w:pPr>
      <w:r>
        <w:separator/>
      </w:r>
    </w:p>
  </w:endnote>
  <w:endnote w:type="continuationSeparator" w:id="0">
    <w:p w14:paraId="7F206F71" w14:textId="77777777" w:rsidR="008646B4" w:rsidRDefault="008646B4" w:rsidP="0086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182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591570" w14:textId="7D83CF1F" w:rsidR="008646B4" w:rsidRDefault="008646B4" w:rsidP="008646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F669D">
          <w:rPr>
            <w:noProof/>
          </w:rPr>
          <w:t xml:space="preserve"> of 1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2A4F" w14:textId="77777777" w:rsidR="008646B4" w:rsidRDefault="008646B4" w:rsidP="008646B4">
      <w:pPr>
        <w:spacing w:after="0" w:line="240" w:lineRule="auto"/>
      </w:pPr>
      <w:r>
        <w:separator/>
      </w:r>
    </w:p>
  </w:footnote>
  <w:footnote w:type="continuationSeparator" w:id="0">
    <w:p w14:paraId="214DE57F" w14:textId="77777777" w:rsidR="008646B4" w:rsidRDefault="008646B4" w:rsidP="0086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2B46" w14:textId="4DF1D661" w:rsidR="008646B4" w:rsidRPr="00257661" w:rsidRDefault="008646B4" w:rsidP="008646B4">
    <w:pPr>
      <w:spacing w:after="0"/>
      <w:jc w:val="right"/>
      <w:rPr>
        <w:rFonts w:ascii="Bahnschrift" w:hAnsi="Bahnschrift"/>
        <w:sz w:val="36"/>
        <w:szCs w:val="36"/>
      </w:rPr>
    </w:pPr>
    <w:bookmarkStart w:id="0" w:name="_Hlk13483337"/>
    <w:r>
      <w:rPr>
        <w:noProof/>
      </w:rPr>
      <w:drawing>
        <wp:anchor distT="0" distB="0" distL="114300" distR="114300" simplePos="0" relativeHeight="251659264" behindDoc="0" locked="0" layoutInCell="1" allowOverlap="1" wp14:anchorId="2A36CE2F" wp14:editId="51A41467">
          <wp:simplePos x="0" y="0"/>
          <wp:positionH relativeFrom="margin">
            <wp:posOffset>-47625</wp:posOffset>
          </wp:positionH>
          <wp:positionV relativeFrom="paragraph">
            <wp:posOffset>-9525</wp:posOffset>
          </wp:positionV>
          <wp:extent cx="1685925" cy="606425"/>
          <wp:effectExtent l="0" t="0" r="952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661">
      <w:rPr>
        <w:rFonts w:ascii="Bahnschrift" w:hAnsi="Bahnschrift"/>
        <w:sz w:val="36"/>
        <w:szCs w:val="36"/>
      </w:rPr>
      <w:t>Fairfax-Falls Church Community Partnership</w:t>
    </w:r>
  </w:p>
  <w:p w14:paraId="0B7BDF6B" w14:textId="041BD1E8" w:rsidR="008646B4" w:rsidRDefault="00B36A56" w:rsidP="008646B4">
    <w:pPr>
      <w:pStyle w:val="Header"/>
      <w:spacing w:after="60"/>
      <w:jc w:val="right"/>
      <w:rPr>
        <w:rFonts w:ascii="Bahnschrift SemiBold" w:hAnsi="Bahnschrift SemiBold"/>
        <w:b/>
        <w:color w:val="000000"/>
        <w:spacing w:val="10"/>
      </w:rPr>
    </w:pPr>
    <w:bookmarkStart w:id="1" w:name="_Hlk13483613"/>
    <w:bookmarkEnd w:id="0"/>
    <w:r>
      <w:rPr>
        <w:rFonts w:ascii="Bahnschrift SemiBold" w:hAnsi="Bahnschrift SemiBold"/>
        <w:b/>
        <w:color w:val="000000"/>
        <w:spacing w:val="10"/>
      </w:rPr>
      <w:t xml:space="preserve"> FY 2021 Fair Market Rents | </w:t>
    </w:r>
    <w:r w:rsidR="00927184">
      <w:rPr>
        <w:rFonts w:ascii="Bahnschrift SemiBold" w:hAnsi="Bahnschrift SemiBold"/>
        <w:b/>
        <w:color w:val="000000"/>
        <w:spacing w:val="10"/>
      </w:rPr>
      <w:t>Effective October 1, 2020</w:t>
    </w:r>
  </w:p>
  <w:p w14:paraId="1CE6DFD8" w14:textId="72B78085" w:rsidR="008646B4" w:rsidRPr="008646B4" w:rsidRDefault="008646B4" w:rsidP="00927184">
    <w:pPr>
      <w:pStyle w:val="Header"/>
      <w:spacing w:after="120"/>
      <w:jc w:val="right"/>
      <w:rPr>
        <w:rFonts w:ascii="Bahnschrift SemiBold" w:hAnsi="Bahnschrift SemiBold"/>
        <w:b/>
        <w:color w:val="000000"/>
        <w:spacing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89B84" wp14:editId="4D0493AB">
              <wp:simplePos x="0" y="0"/>
              <wp:positionH relativeFrom="column">
                <wp:posOffset>0</wp:posOffset>
              </wp:positionH>
              <wp:positionV relativeFrom="paragraph">
                <wp:posOffset>237433</wp:posOffset>
              </wp:positionV>
              <wp:extent cx="9115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C92DE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pt" to="717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" strokecolor="#d8d8d8 [2732]" strokeweight="3pt">
              <v:stroke linestyle="thinThin" joinstyle="miter"/>
            </v:line>
          </w:pict>
        </mc:Fallback>
      </mc:AlternateContent>
    </w:r>
    <w:r w:rsidR="00B36A56">
      <w:rPr>
        <w:rFonts w:ascii="Bahnschrift SemiBold" w:hAnsi="Bahnschrift SemiBold"/>
        <w:b/>
        <w:color w:val="000000"/>
        <w:spacing w:val="10"/>
      </w:rPr>
      <w:t xml:space="preserve">                                                                                                                                                                                                     </w:t>
    </w:r>
    <w:bookmarkEnd w:id="1"/>
    <w:r w:rsidR="00927184">
      <w:rPr>
        <w:rFonts w:ascii="Bahnschrift SemiBold" w:hAnsi="Bahnschrift SemiBold"/>
        <w:b/>
        <w:color w:val="000000"/>
        <w:spacing w:val="10"/>
      </w:rPr>
      <w:t>FY 2021 Income Limits</w:t>
    </w:r>
    <w:r w:rsidR="00B36A56">
      <w:rPr>
        <w:rFonts w:ascii="Bahnschrift SemiBold" w:hAnsi="Bahnschrift SemiBold"/>
        <w:b/>
        <w:color w:val="000000"/>
        <w:spacing w:val="10"/>
      </w:rPr>
      <w:t xml:space="preserve"> | Effective April 1, 2021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79A8"/>
    <w:multiLevelType w:val="hybridMultilevel"/>
    <w:tmpl w:val="D7B6E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B4"/>
    <w:rsid w:val="00017086"/>
    <w:rsid w:val="002573F5"/>
    <w:rsid w:val="00290FA2"/>
    <w:rsid w:val="00421CE0"/>
    <w:rsid w:val="00433E5C"/>
    <w:rsid w:val="005F0AEB"/>
    <w:rsid w:val="00742352"/>
    <w:rsid w:val="008033DF"/>
    <w:rsid w:val="008646B4"/>
    <w:rsid w:val="00927184"/>
    <w:rsid w:val="00976766"/>
    <w:rsid w:val="00B36A56"/>
    <w:rsid w:val="00B57E45"/>
    <w:rsid w:val="00BD1034"/>
    <w:rsid w:val="00BF669D"/>
    <w:rsid w:val="00C444F9"/>
    <w:rsid w:val="00D76002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6160B"/>
  <w15:chartTrackingRefBased/>
  <w15:docId w15:val="{9D24F331-49F4-4F18-B5FF-2746568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6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64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6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46B4"/>
    <w:rPr>
      <w:b/>
      <w:bCs/>
    </w:rPr>
  </w:style>
  <w:style w:type="paragraph" w:styleId="ListParagraph">
    <w:name w:val="List Paragraph"/>
    <w:basedOn w:val="Normal"/>
    <w:uiPriority w:val="34"/>
    <w:qFormat/>
    <w:rsid w:val="00864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B4"/>
  </w:style>
  <w:style w:type="paragraph" w:styleId="Footer">
    <w:name w:val="footer"/>
    <w:basedOn w:val="Normal"/>
    <w:link w:val="FooterChar"/>
    <w:uiPriority w:val="99"/>
    <w:unhideWhenUsed/>
    <w:rsid w:val="0086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060">
          <w:marLeft w:val="7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fm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Ergas, Jamie</dc:creator>
  <cp:keywords/>
  <dc:description/>
  <cp:lastModifiedBy>John Bobby</cp:lastModifiedBy>
  <cp:revision>2</cp:revision>
  <dcterms:created xsi:type="dcterms:W3CDTF">2021-05-20T14:34:00Z</dcterms:created>
  <dcterms:modified xsi:type="dcterms:W3CDTF">2021-05-20T14:34:00Z</dcterms:modified>
</cp:coreProperties>
</file>